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17a LuftSchlichtV — Verhältnis zum Verbraucherstreitbeilegungsgesetz</w:t>
      </w:r>
    </w:p>
    <w:p>
      <w:r>
        <w:rPr>
          <w:color w:val="555555"/>
          <w:sz w:val="18"/>
        </w:rPr>
        <w:t xml:space="preserve">Luftverkehrsschlichtungsverordnung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das Verhältnis der Vorschriften dieser Rechtsverordnung zu den Vorschriften des Verbraucherstreitbeilegungsgesetzes und der auf Grund des § 42 Absatz 1 dieses Gesetzes erlassenen Rechtsverordnungen gilt § 57d des Luftverkehrsgesetzes.</w:t>
      </w:r>
    </w:p>
    <w:p>
      <w:r>
        <w:rPr>
          <w:color w:val="555555"/>
          <w:sz w:val="17"/>
        </w:rPr>
        <w:t xml:space="preserve">Zitiervorschlag: § 17a LuftSchlichtV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https://recht.nulegal.eu/gesetze/LuftSchlichtV/17a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