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LuftSchlichtV — Anrufung der Schlichtungsstelle</w:t>
      </w:r>
    </w:p>
    <w:p>
      <w:r>
        <w:rPr>
          <w:color w:val="555555"/>
          <w:sz w:val="18"/>
        </w:rPr>
        <w:t xml:space="preserve">Luftverkehrsschlichtungsverordnung</w:t>
      </w:r>
    </w:p>
    <w:p>
      <w:r>
        <w:rPr>
          <w:color w:val="555555"/>
          <w:sz w:val="18"/>
        </w:rPr>
        <w:t xml:space="preserve">Stand: 10.06.2019 (konsolidierte Textfassung, kein amtliches Inkrafttretensdatum)</w:t>
      </w:r>
    </w:p>
    <w:p>
      <w:r>
        <w:t xml:space="preserve">(1) Die Anrufung der Schlichtungsstelle erfolgt unter Angabe des Sachverhalts und der Forderung sowie unter Beifügung erforderlicher Belege. Der Fluggast hat weiterhin darzulegen, dass eine Streitigkeit über Ansprüche nach § 57b Absatz 1 des Luftverkehrsgesetzes vorliegt, er den Anspruch unmittelbar gegenüber dem Luftfahrtunternehmen geltend gemacht hat und der Anspruch von dem Luftfahrtunternehmen abgelehnt wurde oder der Anspruch von dem Luftfahrtunternehmen weder anerkannt noch abgelehnt wurde und seit der Geltendmachung mehr als zwei Monate vergangen sind.</w:t>
      </w:r>
    </w:p>
    <w:p>
      <w:r>
        <w:t xml:space="preserve">(2) Die Schlichtungsstelle bestätigt dem Fluggast den Eingang seines Schlichtungsbegehrens.</w:t>
      </w:r>
    </w:p>
    <w:p>
      <w:r>
        <w:t xml:space="preserve">(3) Ist die Anrufung der Schlichtungsstelle nicht formgerecht erfolgt oder fehlen nach Absatz 1 erforderliche Angaben oder Belege, teilt die Schlichtungsstelle dies dem Fluggast mit und fordert ihn auf, innerhalb von drei Wochen die Mängel der Anrufung zu beheben. Dies gilt auch dann, wenn Anhaltspunkte dafür bestehen, dass die Schlichtungsstelle nach § 57b Absatz 2 des Luftverkehrsgesetzes nicht angerufen werden kann. Die Frist nach Satz 1 kann verlängert werden. Werden die Mängel nicht fristgerecht behoben, so gilt das Schlichtungsbegehren als zurückgenommen. Die Schlichtungsstelle teilt dem Fluggast mit, dass ein Schlichtungsverfahren nicht durchgeführt wird.</w:t>
      </w:r>
    </w:p>
    <w:p>
      <w:r>
        <w:rPr>
          <w:color w:val="555555"/>
          <w:sz w:val="17"/>
        </w:rPr>
        <w:t xml:space="preserve">Zitiervorschlag: § 11 LuftSchlichtV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https://recht.nulegal.eu/gesetze/LuftSchlichtV/11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LuftSchlichtV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