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LuftSchlichtV — Anerkennung</w:t>
      </w:r>
    </w:p>
    <w:p>
      <w:r>
        <w:rPr>
          <w:color w:val="555555"/>
          <w:sz w:val="18"/>
        </w:rPr>
        <w:t xml:space="preserve">Luftverkehrsschlichtungsverordnung</w:t>
      </w:r>
    </w:p>
    <w:p>
      <w:r>
        <w:rPr>
          <w:color w:val="555555"/>
          <w:sz w:val="18"/>
        </w:rPr>
        <w:t xml:space="preserve">Stand: 12.12.2025 (konsolidierte Textfassung, kein amtliches Inkrafttretensdatum)</w:t>
      </w:r>
    </w:p>
    <w:p>
      <w:r>
        <w:t xml:space="preserve">(1) Privatrechtlich organisierte Einrichtungen können als Schlichtungsstellen nach § 57 Absatz 1 des Luftverkehrsgesetzes anerkannt werden, wenn die Schlichtungsstellen, die Durchführung der Schlichtungsverfahren und die Regelung der Entgelte folgenden Anforderungen entsprechen:</w:t>
      </w:r>
    </w:p>
    <w:p>
      <w:pPr>
        <w:ind w:left="420"/>
      </w:pPr>
      <w:r>
        <w:t xml:space="preserve">1. den §§ 57 und 57b des Luftverkehrsgesetzes,</w:t>
      </w:r>
    </w:p>
    <w:p>
      <w:pPr>
        <w:ind w:left="420"/>
      </w:pPr>
      <w:r>
        <w:t xml:space="preserve">2. den §§ 2 bis 16 Absatz 1 und 3 dieser Rechtsverordnung,</w:t>
      </w:r>
    </w:p>
    <w:p>
      <w:pPr>
        <w:ind w:left="420"/>
      </w:pPr>
      <w:r>
        <w:t xml:space="preserve">3. den §§ 1 bis 23, 34 und 38 des Verbraucherstreitbeilegungsgesetzes und</w:t>
      </w:r>
    </w:p>
    <w:p>
      <w:pPr>
        <w:ind w:left="420"/>
      </w:pPr>
      <w:r>
        <w:t xml:space="preserve">4. denjenigen Vorschriften der nach § 42 Absatz 1 des Verbraucherstreitbeilegungsgesetzes erlassenen Rechtsverordnung, die die Anforderungen nach Nummer 3 konkretisieren.</w:t>
      </w:r>
    </w:p>
    <w:p>
      <w:r>
        <w:t xml:space="preserve">(2) Jede Änderung der Verfahrensordnung und der Regelung der Entgelte hat die Schlichtungsstelle dem Bundesministerium der Justiz und für Verbraucherschutz mindestens zwei Monate vor Inkrafttreten der Änderung anzuzeigen.</w:t>
      </w:r>
    </w:p>
    <w:p>
      <w:r>
        <w:rPr>
          <w:color w:val="555555"/>
          <w:sz w:val="17"/>
        </w:rPr>
        <w:t xml:space="preserve">Zitiervorschlag: § 1 LuftSchlichtV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https://recht.nulegal.eu/gesetze/LuftSchlichtV/1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