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LuftRegV — Registerakten</w:t>
      </w:r>
    </w:p>
    <w:p>
      <w:r>
        <w:rPr>
          <w:color w:val="555555"/>
          <w:sz w:val="18"/>
        </w:rPr>
        <w:t xml:space="preserve">Luftfahrzeugpfandrechtsregisterverordnung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 jedem Registerblatt sind Registerakten zu führen, in denen ein Handblatt enthalten ist. Urkunden, auf die im Register zur Ergänzung einer Eintragung verwiesen wird, können in einem Sonderband verwahrt werden.</w:t>
      </w:r>
    </w:p>
    <w:p>
      <w:r>
        <w:t xml:space="preserve">(2) Die Urkunden und Abschriften, die nach § 86 Abs. 1 des Gesetzes über Rechte an Luftfahrzeugen in Verbindung mit § 59 der Schiffsregisterordnung vom Registergericht aufzubewahren sind, werden zu den Registerakten genommen. Das gleiche gilt für die bei der Anmeldung eingereichten Urkunden, soweit sie nicht dem Anmeldenden zurückzugeben sind.</w:t>
      </w:r>
    </w:p>
    <w:p>
      <w:r>
        <w:t xml:space="preserve">(3) Betrifft ein Schriftstück der in Absatz 2 bezeichneten Art Eintragungen auf verschiedenen Registerblättern, so ist es zu den Registerakten eines der beteiligten Blätter zu nehmen; in den Registerakten der anderen Blätter ist auf diese Registerakten zu verweisen.</w:t>
      </w:r>
    </w:p>
    <w:p>
      <w:r>
        <w:rPr>
          <w:color w:val="555555"/>
          <w:sz w:val="17"/>
        </w:rPr>
        <w:t xml:space="preserve">Zitiervorschlag: § 8 LuftRegV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https://recht.nulegal.eu/gesetze/LuftRegV/8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