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LuftRegV — Inhalt der Abteilungen des Registerblatts für ein Ersatzteillager</w:t>
      </w:r>
    </w:p>
    <w:p>
      <w:r>
        <w:rPr>
          <w:color w:val="555555"/>
          <w:sz w:val="18"/>
        </w:rPr>
        <w:t xml:space="preserve">Luftfahrzeugpfandrechtsregisterverordnung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ersten Abteilung sind einzutragen:</w:t>
      </w:r>
    </w:p>
    <w:p>
      <w:pPr>
        <w:ind w:left="420"/>
      </w:pPr>
      <w:r>
        <w:t xml:space="preserve">1. in Spalte 1: die Bezeichnung der Stelle, an der die Ersatzteile lagern;</w:t>
      </w:r>
    </w:p>
    <w:p>
      <w:pPr>
        <w:ind w:left="420"/>
      </w:pPr>
      <w:r>
        <w:t xml:space="preserve">2. in Spalte 2: der Tag der Eintragung des Ersatzteillagers und die Löschung der Eintragung des Ersatzteillagers im Register.</w:t>
      </w:r>
    </w:p>
    <w:p>
      <w:r>
        <w:t xml:space="preserve">Die Eintragungen sind in Spalte 2 zu unterschreiben.</w:t>
      </w:r>
    </w:p>
    <w:p>
      <w:r>
        <w:t xml:space="preserve">(2) In der zweiten Abteilung sind einzutragen:</w:t>
      </w:r>
    </w:p>
    <w:p>
      <w:pPr>
        <w:ind w:left="420"/>
      </w:pPr>
      <w:r>
        <w:t xml:space="preserve">1. in Spalte 1: die laufende Nummer der Eintragung in Spalte 2;</w:t>
      </w:r>
    </w:p>
    <w:p>
      <w:pPr>
        <w:ind w:left="420"/>
      </w:pPr>
      <w:r>
        <w:t xml:space="preserve">2. in Spalte 2: die Bezeichnung des auf die Ersatzteile erweiterten Pfandrechts nach Registerblatt, Abteilung und laufende Nummer sowie sonstige Angaben, die den Inhalt der Erweiterung betreffen;</w:t>
      </w:r>
    </w:p>
    <w:p>
      <w:pPr>
        <w:ind w:left="420"/>
      </w:pPr>
      <w:r>
        <w:t xml:space="preserve">3. in Spalte 3: die laufende Nummer der von der Änderung betroffenen Eintragung;</w:t>
      </w:r>
    </w:p>
    <w:p>
      <w:pPr>
        <w:ind w:left="420"/>
      </w:pPr>
      <w:r>
        <w:t xml:space="preserve">4. in Spalte 4: die Veränderungen der in den Spalten 1 und 2 eingetragenen Erweiterungen;</w:t>
      </w:r>
    </w:p>
    <w:p>
      <w:pPr>
        <w:ind w:left="420"/>
      </w:pPr>
      <w:r>
        <w:t xml:space="preserve">5. in Spalte 5: die laufende Nummer der von der Löschung betroffenen Erweiterung;</w:t>
      </w:r>
    </w:p>
    <w:p>
      <w:pPr>
        <w:ind w:left="420"/>
      </w:pPr>
      <w:r>
        <w:t xml:space="preserve">6. in Spalte 6: die Löschung der eingetragenen Erweiterungen.</w:t>
      </w:r>
    </w:p>
    <w:p>
      <w:r>
        <w:t xml:space="preserve">Eintragungen in den Spalten 1 und 2 sind in Spalte 2, Eintragungen in den Spalten 3 und 4 in Spalte 4 und Eintragungen in den Spalten 5 und 6 in Spalte 6 zu unterschreiben.</w:t>
      </w:r>
    </w:p>
    <w:p>
      <w:r>
        <w:t xml:space="preserve">(3) Für die Eintragung einer Vormerkung, eines Schutzvermerks und eines Widerspruchs gilt § 4 Abs. 2 und 3 Satz 1 sinngemäß.</w:t>
      </w:r>
    </w:p>
    <w:p>
      <w:r>
        <w:rPr>
          <w:color w:val="555555"/>
          <w:sz w:val="17"/>
        </w:rPr>
        <w:t xml:space="preserve">Zitiervorschlag: § 6 LuftRegV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