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LuftRegV — Inkrafttreten, Außerkrafttreten</w:t>
      </w:r>
    </w:p>
    <w:p>
      <w:r>
        <w:rPr>
          <w:color w:val="555555"/>
          <w:sz w:val="18"/>
        </w:rPr>
        <w:t xml:space="preserve">Luftfahrzeugpfandrechtsregisterverordnung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18 LuftRegV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https://recht.nulegal.eu/gesetze/LuftRegV/18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