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LuftRegV — Einsicht in das Register</w:t>
      </w:r>
    </w:p>
    <w:p>
      <w:r>
        <w:rPr>
          <w:color w:val="555555"/>
          <w:sz w:val="18"/>
        </w:rPr>
        <w:t xml:space="preserve">Luftfahrzeugpfandrechtsregisterverordnung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Einsicht in maschinell geführte Register und die Erteilung von Abschriften hieraus gelten § 85 des Gesetzes über Rechte an Luftfahrzeugen, die Vorschriften des Abschnitts 3 und die §§ 65 und 67 der Verordnung zur Durchführung der Schiffsregisterordnung entsprechend. § 67 Abs. 3 der Verordnung zur Durchführung der Schiffsregisterordnung gilt mit der Maßgabe, daß die Einsicht auch bei einem Grundbuchamt, Schiffs- oder anderen Registergericht ermöglicht werden kann.</w:t>
      </w:r>
    </w:p>
    <w:p>
      <w:r>
        <w:rPr>
          <w:color w:val="555555"/>
          <w:sz w:val="17"/>
        </w:rPr>
        <w:t xml:space="preserve">Zitiervorschlag: § 14 LuftRegV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https://recht.nulegal.eu/gesetze/LuftRegV/14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