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LuftRegV — Einführung der maschinellen Führung</w:t>
      </w:r>
    </w:p>
    <w:p>
      <w:r>
        <w:rPr>
          <w:color w:val="555555"/>
          <w:sz w:val="18"/>
        </w:rPr>
        <w:t xml:space="preserve">Luftfahrzeugpfandrechtsregisterverordnung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Landesjustizverwaltung kann abweichend von § 1 Satz 2 anordnen, daß die Register ganz oder blattweise in maschineller Form als automatisierte Datei geführt werden. Die Anordnung soll öffentlich bekannt gemacht werden.</w:t>
      </w:r>
    </w:p>
    <w:p>
      <w:r>
        <w:t xml:space="preserve">(2) Für die Anforderungen an Anlagen, Programme und ihre Sicherung gelten § 126 Abs. 1 Satz 2 der Grundbuchordnung, die Artikel 24, 25 und 32 der Verordnung (EU) 2016/679 und die §§ 64 bis 66 der Grundbuchverfügung sinngemäß.</w:t>
      </w:r>
    </w:p>
    <w:p>
      <w:r>
        <w:t xml:space="preserve">(3) Für maschinell geführte Register gelten Abschnitt 1 bis 3, soweit im folgenden nichts Abweichendes bestimmt wird. Die maschinelle Führung von Registern umfaßt auch die maschinelle Führung des Verzeichnisses nach § 10 und anderer für die Führung der Register bestehender Verzeichnisse.</w:t>
      </w:r>
    </w:p>
    <w:p>
      <w:r>
        <w:t xml:space="preserve">(4) Auch bei maschineller Führung des Registers sind Akten gemäß § 8 zu führen. Auf die Führung eines Handblatts kann verzichtet werden.</w:t>
      </w:r>
    </w:p>
    <w:p>
      <w:r>
        <w:rPr>
          <w:color w:val="555555"/>
          <w:sz w:val="17"/>
        </w:rPr>
        <w:t xml:space="preserve">Zitiervorschlag: § 11 LuftRegV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https://recht.nulegal.eu/gesetze/LuftRegV/11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