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LuftRAAbkDG</w:t>
      </w:r>
    </w:p>
    <w:p>
      <w:r>
        <w:rPr>
          <w:color w:val="555555"/>
          <w:sz w:val="18"/>
        </w:rPr>
        <w:t xml:space="preserve">Gesetz zur Durchführung des Ersten Abkommens zur Vereinheitlichung des Luftprivatrechts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zur Durchführung des Ersten Abkommens zur Vereinheitlichung des Luftprivatrechts (Reichsgesetzbl. II S. 1039) das folgende Gesetz beschlossen, das hiermit verkündet wird:</w:t>
      </w:r>
    </w:p>
    <w:p>
      <w:r>
        <w:rPr>
          <w:color w:val="555555"/>
          <w:sz w:val="17"/>
        </w:rPr>
        <w:t xml:space="preserve">Zitiervorschlag: Eingangsformel LuftRAAbkDG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https://recht.nulegal.eu/gesetze/LuftRAAbkDG/eingangsformel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