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LuftRAAbkDG</w:t>
      </w:r>
    </w:p>
    <w:p>
      <w:r>
        <w:rPr>
          <w:color w:val="555555"/>
          <w:sz w:val="18"/>
        </w:rPr>
        <w:t xml:space="preserve">Gesetz zur Durchführung des Ersten Abkommens zur Vereinheitlichung des Luftprivatrechts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 Stelle der in Artikel 22 des Abkommens in französischer Währung festgesetzten Höchstbeträge treten die entsprechenden Beträge in deutscher Reichswährung.</w:t>
      </w:r>
    </w:p>
    <w:p>
      <w:r>
        <w:t xml:space="preserve">(2) Der Bundesminister der Justiz wird ermächtigt, durch eine Rechtsverordnung, die der Zustimmung des Bundesrates nicht bedarf, den Umrechnungssatz für französische Franken entsprechend dem amtlich festgestellten Goldpreis in deutsche Mark vorzuschreiben.</w:t>
      </w:r>
    </w:p>
    <w:p>
      <w:r>
        <w:rPr>
          <w:color w:val="555555"/>
          <w:sz w:val="17"/>
        </w:rPr>
        <w:t xml:space="preserve">Zitiervorschlag: § 2 LuftRAAbkDG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https://recht.nulegal.eu/gesetze/LuftRAAbkDG/2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