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LuftRÄndV</w:t>
      </w:r>
    </w:p>
    <w:p>
      <w:r>
        <w:rPr>
          <w:color w:val="555555"/>
          <w:sz w:val="18"/>
        </w:rPr>
        <w:t xml:space="preserve">Verordnung zur Änderung luftrechtlicher Verordnungen und Durchführungsverordnungen zur Regelung des Betriebes von Luftsportgeräten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des Luftverkehrsgesetzes, der durch Artikel 1 Nr. 15 des Zehnten Gesetzes zur Änderung des Luftverkehrsgesetzes vom 23. Juli 1992 (BGBl. I S. 1370) eingefügt worden ist, verordnet der Bundesminister für Verkehr:</w:t>
      </w:r>
    </w:p>
    <w:p>
      <w:r>
        <w:rPr>
          <w:color w:val="555555"/>
          <w:sz w:val="17"/>
        </w:rPr>
        <w:t xml:space="preserve">Zitiervorschlag: Eingangsformel LuftRÄndV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https://recht.nulegal.eu/gesetze/LuftR%C3%84ndV/eingangsformel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