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11 LuftRÄndV</w:t>
      </w:r>
    </w:p>
    <w:p>
      <w:r>
        <w:rPr>
          <w:color w:val="555555"/>
          <w:sz w:val="18"/>
        </w:rPr>
        <w:t xml:space="preserve">Verordnung zur Änderung luftrechtlicher Verordnungen und Durchführungsverordnungen zur Regelung des Betriebes von Luftsportgeräten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Diese Verordnung tritt am Tage nach der Verkündung in Kraft.</w:t>
      </w:r>
    </w:p>
    <w:p>
      <w:r>
        <w:rPr>
          <w:color w:val="555555"/>
          <w:sz w:val="17"/>
        </w:rPr>
        <w:t xml:space="preserve">Zitiervorschlag: Art 11 LuftRÄndV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https://recht.nulegal.eu/gesetze/LuftR%C3%84ndV/11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