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10 LuftRÄndV</w:t>
      </w:r>
    </w:p>
    <w:p>
      <w:r>
        <w:rPr>
          <w:color w:val="555555"/>
          <w:sz w:val="18"/>
        </w:rPr>
        <w:t xml:space="preserve">Verordnung zur Änderung luftrechtlicher Verordnungen und Durchführungsverordnungen zur Regelung des Betriebes von Luftsportgeräten</w:t>
      </w:r>
    </w:p>
    <w:p>
      <w:r>
        <w:rPr>
          <w:color w:val="555555"/>
          <w:sz w:val="18"/>
        </w:rPr>
        <w:t xml:space="preserve">Stand: 10.06.2019 (konsolidierte Textfassung, kein amtliches Inkrafttretensdatum)</w:t>
      </w:r>
    </w:p>
    <w:p>
      <w:r>
        <w:t xml:space="preserve">Der Bundesminister für Verkehr kann nach Inkrafttreten dieser Verordnung den Wortlaut der durch sie geänderten Verordnungen in der geltenden Fassung im Bundesgesetzblatt bekanntmachen. Er kann die Paragraphen und ihre Untergliederungen mit neuen durchlaufenden Ordnungszeichen versehen.</w:t>
      </w:r>
    </w:p>
    <w:p>
      <w:r>
        <w:rPr>
          <w:color w:val="555555"/>
          <w:sz w:val="17"/>
        </w:rPr>
        <w:t xml:space="preserve">Zitiervorschlag: Art 10 LuftRÄndV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https://recht.nulegal.eu/gesetze/LuftR%C3%84ndV/10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10 LuftRÄndV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