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LuftRÄndV 2001</w:t>
      </w:r>
    </w:p>
    <w:p>
      <w:r>
        <w:rPr>
          <w:color w:val="555555"/>
          <w:sz w:val="18"/>
        </w:rPr>
        <w:t xml:space="preserve">Verordnung zur Änderung luftrechtlicher Vorschriften über den Transport gefährlicher Güter und die Zulassung von Luftsportgeräten und Flugmodellen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der §§ 31c und 32 Abs. 1 Satz 1 Nr. 7, 9a und Satz 2 sowie Abs. 4 Satz 1 Nr. 1 des Luftverkehrsgesetzes in der Fassung der Bekanntmachung vom 27. März 1999 (BGBl. I S. 550), in Verbindung mit Artikel 56 des Zuständigkeitsanpassungs-Gesetzes vom 18. März 1975 (BGBl. I S. 705) und dem Organisationserlass vom 27. Oktober 1998 (BGBl. I S. 3288), verordnet das Bundesministerium für Verkehr, Bau- und Wohnungswesen:</w:t>
      </w:r>
    </w:p>
    <w:p>
      <w:r>
        <w:rPr>
          <w:color w:val="555555"/>
          <w:sz w:val="17"/>
        </w:rPr>
        <w:t xml:space="preserve">Zitiervorschlag: Eingangsformel LuftRÄndV 2001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https://recht.nulegal.eu/gesetze/LuftR%C3%84ndV%202001/eingangsformel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LuftRÄndV 2001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