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LuftPersVDV 2 — Privatflugzeugführer (zu § 1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theoretischen Ausbildung sind die Kenntnisse gemäß Anlage 1A zu vermitteln.</w:t>
      </w:r>
    </w:p>
    <w:p>
      <w:r>
        <w:t xml:space="preserve">(2) In der Flugausbildung sind die in Anlage 1B festgelegten Übungen durchzuführen.</w:t>
      </w:r>
    </w:p>
    <w:p>
      <w:r>
        <w:t xml:space="preserve">(3) Die theoretische Prüfung ist gemäß Anlage 1C durchzuführen.</w:t>
      </w:r>
    </w:p>
    <w:p>
      <w:r>
        <w:t xml:space="preserve">(4) Der Bewerber hat in einer praktischen Prüfung gemäß Anlage 1D nachzuweisen, dass er die zur Führung von Flugzeugen notwendigen Fähigkeiten besitzt.</w:t>
      </w:r>
    </w:p>
    <w:p>
      <w:r>
        <w:rPr>
          <w:color w:val="555555"/>
          <w:sz w:val="17"/>
        </w:rPr>
        <w:t xml:space="preserve">Zitiervorschlag: § 4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