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LuftPersVDV 2 — Inkrafttreten</w:t>
      </w:r>
    </w:p>
    <w:p>
      <w:r>
        <w:rPr>
          <w:color w:val="555555"/>
          <w:sz w:val="18"/>
        </w:rPr>
        <w:t xml:space="preserve">Zweite Durchführungsverordnung zur Verordnung über Luftfahrtpersonal (Anwendungsbestimmungen für die Ausbildung und Prüfung für den Erwerb von Lizenzen und Berechtigungen für Luftfahrer gemäß der Verordnung über Luftfahrtpersonal)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22 LuftPersVDV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https://recht.nulegal.eu/gesetze/LuftPersVDV%202/22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