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95a LuftPersV — Berechtigung zur praktischen Ausbildung von Luftsportgeräteführern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Fachliche Voraussetzungen für den Erwerb der Berechtigung, Luftsportgeräteführer praktisch auszubilden, sind</w:t>
      </w:r>
    </w:p>
    <w:p>
      <w:pPr>
        <w:ind w:left="420"/>
      </w:pPr>
      <w:r>
        <w:t xml:space="preserve">1. der unbeschränkte Luftfahrerschein für die Art von Luftsportgerät, für die die Berechtigung erworben werden soll,</w:t>
      </w:r>
    </w:p>
    <w:p>
      <w:pPr>
        <w:ind w:left="420"/>
      </w:pPr>
      <w:r>
        <w:t xml:space="preserve">2. die praktische Tätigkeit als Luftsportgeräteführer,</w:t>
      </w:r>
    </w:p>
    <w:p>
      <w:pPr>
        <w:ind w:left="420"/>
      </w:pPr>
      <w:r>
        <w:t xml:space="preserve">3. eine Auswahlprüfung vor einem vom Beauftragten nach § 31c des Luftverkehrsgesetzes dazu anerkannten Prüfer,</w:t>
      </w:r>
    </w:p>
    <w:p>
      <w:pPr>
        <w:ind w:left="420"/>
      </w:pPr>
      <w:r>
        <w:t xml:space="preserve">4. die erfolgreiche Teilnahme an einem vom Beauftragten nach § 31c des Luftverkehrsgesetzes durchgeführten oder anerkannten Ausbildungslehrgang,</w:t>
      </w:r>
    </w:p>
    <w:p>
      <w:pPr>
        <w:ind w:left="420"/>
      </w:pPr>
      <w:r>
        <w:t xml:space="preserve">5. eine an den Ausbildungslehrgang anschließende Ausbildungstätigkeit.</w:t>
      </w:r>
    </w:p>
    <w:p>
      <w:r>
        <w:t xml:space="preserve">Der Beauftragte nach § 31c des Luftverkehrsgesetzes legt Inhalt und Umfang des Ausbildungslehrgangs nach Satz 1 Nr. 4 für die betreffende Luftsportgeräteart und der Ausbildungstätigkeit nach Satz 1 Nr. 5 fest. Er kann Bewerber, die eine Lehrberechtigung für Flugzeugführer, Segelflugzeugführer oder einer anderen Art von Luftsportgerät besitzen, teilweise oder ganz von den Anforderungen nach Satz 1 Nr. 4 und 5 befreien.</w:t>
      </w:r>
    </w:p>
    <w:p>
      <w:r>
        <w:t xml:space="preserve">(2) Die praktische Tätigkeit nach Absatz 1 Satz 1 Nr. 2 muss für den Erwerb der Berechtigung</w:t>
      </w:r>
    </w:p>
    <w:p>
      <w:pPr>
        <w:ind w:left="420"/>
      </w:pPr>
      <w:r>
        <w:t xml:space="preserve">1. für die praktische Ausbildung von Führern schwerkraftgesteuerter Ultraleichtflugzeuge eine Flugzeit von 70 Stunden innerhalb der letzten 24 Monate mit mindestens 15 Stunden Überlandflugerfahrung,</w:t>
      </w:r>
    </w:p>
    <w:p>
      <w:pPr>
        <w:ind w:left="420"/>
      </w:pPr>
      <w:r>
        <w:t xml:space="preserve">2. für die praktische Ausbildung von Führern aerodynamisch gesteuerter Ultraleichtflugzeuge eine Gesamtflugzeit von 150 Flugstunden als verantwortlicher Führer von aerodynamisch gesteuerten Ultraleichtflugzeugen, Segelflugzeugen, Motorseglern oder Flugzeugen,</w:t>
      </w:r>
    </w:p>
    <w:p>
      <w:pPr>
        <w:ind w:left="420"/>
      </w:pPr>
      <w:r>
        <w:t xml:space="preserve">3. für die praktische Ausbildung von Führern von Ultraleichthubschraubern eine Gesamtflugzeit von 150 Flugstunden als verantwortlicher Führer von Ultraleichthubschraubern oder Hubschraubern,</w:t>
      </w:r>
    </w:p>
    <w:p>
      <w:pPr>
        <w:ind w:left="420"/>
      </w:pPr>
      <w:r>
        <w:t xml:space="preserve">4. für die praktische Ausbildung von Führern von nicht motorisierten und motorisierten Luftsportgeräten nach § 1 Absatz 4 der Luftverkehrs-Zulassungs-Ordnung oder Sprungfallschirmen eine ausreichende Flug-/Sprungerfahrung, um eine Lehrtätigkeit ausüben zu können,</w:t>
      </w:r>
    </w:p>
    <w:p>
      <w:r>
        <w:t xml:space="preserve">umfassen. § 42 Abs. 2 gilt entsprechend.</w:t>
      </w:r>
    </w:p>
    <w:p>
      <w:r>
        <w:t xml:space="preserve">(3) Der Bewerber hat in einer Prüfung nachzuweisen, dass er nach seinem fachlichen Wissen und praktischen Können die an einen Fluglehrer für die Ausbildung von Luftsportgeräteführern zu stellenden Anforderungen erfüllt.</w:t>
      </w:r>
    </w:p>
    <w:p>
      <w:r>
        <w:rPr>
          <w:color w:val="555555"/>
          <w:sz w:val="17"/>
        </w:rPr>
        <w:t xml:space="preserve">Zitiervorschlag: § 95a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https://recht.nulegal.eu/gesetze/LuftPersV/95a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