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LuftPersV — Gültigkeitsdauer von Erlaubnissen und Berechtigungen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Eine nach dieser Verordnung oder nach der Verordnung (EU) Nr. 1178/2011 erteilte Erlaubnis ist, soweit nichts anderes bestimmt ist, unbefristet gültig. Die Gültigkeitsdauer von Berechtigungen und Erweiterungen der Erlaubnis richtet sich nach den Vorschriften, die für die Erteilung der Berechtigung maßgeblich sind.</w:t>
      </w:r>
    </w:p>
    <w:p>
      <w:r>
        <w:t xml:space="preserve">(2) Nach dieser Verordnung erteilte Ausweise für Prüfer von Luftfahrtgerät und nach der Verordnung (EU) Nr. 1321/2014 erteilte Lizenzen sind fünf Jahre gültig. Die Verlängerung der Gültigkeitsdauer richtet sich nach den dafür maßgeblichen Vorschriften.</w:t>
      </w:r>
    </w:p>
    <w:p>
      <w:r>
        <w:rPr>
          <w:color w:val="555555"/>
          <w:sz w:val="17"/>
        </w:rPr>
        <w:t xml:space="preserve">Zitiervorschlag: § 9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