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LuftPersV — Berechtigung zur praktischen Ausbildung von Flugingenieuren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fachlichen Voraussetzungen für den Erwerb, die Erteilung, den Umfang, die Gültigkeitsdauer, die Verlängerung und die Erneuerung der Berechtigung zur praktischen Ausbildung von Flugingenieuren umfassen:</w:t>
      </w:r>
    </w:p>
    <w:p>
      <w:pPr>
        <w:ind w:left="420"/>
      </w:pPr>
      <w:r>
        <w:t xml:space="preserve">1. theoretische und praktische Kenntnisse der Luftfahrttechnik und der Flugsicherheit,</w:t>
      </w:r>
    </w:p>
    <w:p>
      <w:pPr>
        <w:ind w:left="420"/>
      </w:pPr>
      <w:r>
        <w:t xml:space="preserve">2. Kenntnisse der einzelnen Flugzeugsysteme,</w:t>
      </w:r>
    </w:p>
    <w:p>
      <w:pPr>
        <w:ind w:left="420"/>
      </w:pPr>
      <w:r>
        <w:t xml:space="preserve">3. eine umfassende Flugerfahrung und einen fortlaufenden Einsatz auf Luftfahrzeugen und</w:t>
      </w:r>
    </w:p>
    <w:p>
      <w:pPr>
        <w:ind w:left="420"/>
      </w:pPr>
      <w:r>
        <w:t xml:space="preserve">4. eine entsprechende Musterberechtigung.</w:t>
      </w:r>
    </w:p>
    <w:p>
      <w:r>
        <w:t xml:space="preserve">Die Einzelheiten zu den fachlichen Voraussetzungen nach Satz 1 richten sich nach JAR-FCL 4 deutsch.</w:t>
      </w:r>
    </w:p>
    <w:p>
      <w:r>
        <w:rPr>
          <w:color w:val="555555"/>
          <w:sz w:val="17"/>
        </w:rPr>
        <w:t xml:space="preserve">Zitiervorschlag: § 88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