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84a LuftPersV — Passagierberechtigung für Luftsportgeräteführer</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Luftsportgeräteführer bedürfen für Flüge oder Sprünge mit Passagieren der Passagierberechtigung.</w:t>
      </w:r>
    </w:p>
    <w:p>
      <w:r>
        <w:t xml:space="preserve">(2) Fachliche Voraussetzungen für den Erwerb der Berechtigung, Flüge nach Absatz 1 mit zweisitzigen Ultraleichtflugzeugen durchzuführen, ist der Nachweis von fünf Überlandflügen, davon mindestens zwei Überlandflüge mit Zwischenlandung über eine Gesamtstrecke von mindestens 200 Kilometer nach Erwerb des Luftfahrerscheins für Luftsportgeräteführer in Begleitung eines Fluglehrers. Die Passagierberechtigung für Führer von aerodynamisch gesteuerten Ultraleichtflugzeugen, die eine gültige Lizenz für Privatflugzeugführer oder Segelflugzeugführer besitzen, gilt mit der Erteilung des Luftfahrerscheins für Luftsportgeräteführer nach § 44 Absatz 1 als erteilt. § 122 Abs. 1 bleibt unberührt.</w:t>
      </w:r>
    </w:p>
    <w:p>
      <w:r>
        <w:t xml:space="preserve">(3) Für die fachlichen Voraussetzungen für den Erwerb der Berechtigung, Flüge nach Absatz 1 mit doppelsitzigen Hängegleitern, Gleitsegeln oder anderen vergleichbaren Luftsportgeräten oder Sprünge mit Tandem-Sprungfallschirmen durchzuführen, gilt § 42 Abs. 2 entsprechend.</w:t>
      </w:r>
    </w:p>
    <w:p>
      <w:r>
        <w:t xml:space="preserve">(4) Der Bewerber für eine Berechtigung nach Absatz 1 hat in einer praktischen Prüfung nachzuweisen, dass er nach seinem Wissen und praktischen Können die Anforderungen für Flüge oder Sprünge mit Passagieren erfüllt.</w:t>
      </w:r>
    </w:p>
    <w:p>
      <w:r>
        <w:t xml:space="preserve">(5) Die Passagierberechtigung wird für die betreffende Luftsportgeräteart, auf der der Bewerber ausgebildet wurde, im Luftfahrerschein eingetragen. Die Gültigkeit richtet sich nach der Gültigkeit des Luftfahrerscheins für Luftsportgeräteführer, soweit nicht der Beauftragte nach § 31c des Luftverkehrsgesetzes entsprechend § 42 Abs. 2 die Gültigkeitsdauer beschränkt und Voraussetzungen für die Verlängerung festlegt.</w:t>
      </w:r>
    </w:p>
    <w:p>
      <w:r>
        <w:rPr>
          <w:color w:val="555555"/>
          <w:sz w:val="17"/>
        </w:rPr>
        <w:t xml:space="preserve">Zitiervorschlag: § 84a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https://recht.nulegal.eu/gesetze/LuftPersV/84a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