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LuftPersV — Durchführungsbestimmungen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Luftfahrt-Bundesamt wird ermächtigt, soweit dies zur Gewährleistung der Sicherheit des Luftverkehrs notwendig ist, durch Rechtsverordnungen Einzelheiten festzulegen</w:t>
      </w:r>
    </w:p>
    <w:p>
      <w:pPr>
        <w:ind w:left="420"/>
      </w:pPr>
      <w:r>
        <w:t xml:space="preserve">1. zur Präzisierung einzelner Regelungen dieser Verordnung,</w:t>
      </w:r>
    </w:p>
    <w:p>
      <w:pPr>
        <w:ind w:left="420"/>
      </w:pPr>
      <w:r>
        <w:t xml:space="preserve">2. zur nationalen Ausgestaltung von Verfahren nach der Verordnung (EU) Nr. 1178/2011, für die das Luftfahrt-Bundesamt nach § 65c Absatz 1 Satz 1 des Luftverkehrsgesetzes als zuständige Behörde benannt wurde, und</w:t>
      </w:r>
    </w:p>
    <w:p>
      <w:pPr>
        <w:ind w:left="420"/>
      </w:pPr>
      <w:r>
        <w:t xml:space="preserve">3. zur Durchführung der vom Bundesministerium für Verkehr und digitale Infrastruktur im Bundesanzeiger bekannt gemachten Fassung der Bestimmungen über die Lizenzierung von Flugingenieuren (JAR-FCL 4 deutsch).</w:t>
      </w:r>
    </w:p>
    <w:p>
      <w:r>
        <w:rPr>
          <w:color w:val="555555"/>
          <w:sz w:val="17"/>
        </w:rPr>
        <w:t xml:space="preserve">Zitiervorschlag: § 6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