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LuftPersV — Erteilung und Umfang des Luftfahrerscheins für Luftsportgeräteführer</w:t>
      </w:r>
    </w:p>
    <w:p>
      <w:r>
        <w:rPr>
          <w:color w:val="555555"/>
          <w:sz w:val="18"/>
        </w:rPr>
        <w:t xml:space="preserve">Verordnung über Luftfahrtpersonal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Luftfahrerschein für Luftsportgeräteführer wird durch Aushändigung des Luftfahrerscheins nach Muster 5 der Anlage 1 zu dieser Verordnung erteilt. Bei der Erteilung und der Erneuerung einer Berechtigung und bei einer sonstigen Änderung der eingetragenen Daten wird der Luftfahrerschein vom Beauftragten nach § 31c des Luftverkehrsgesetzes neu ausgestellt.</w:t>
      </w:r>
    </w:p>
    <w:p>
      <w:r>
        <w:t xml:space="preserve">(2) Der Luftfahrerschein berechtigt zum Führen von Luftsportgerät der im Luftfahrerschein eingetragenen Art und zu den eingetragenen Start- oder Sprungarten am Tage und von Sprungfallschirmen auch bei Nacht. Er umfasst die Ausübung des Flugfunkdienstes außerhalb von Lufträumen der Klassen B, C und D, wenn die entsprechende Ausbildung erfolgreich durchgeführt worden ist.</w:t>
      </w:r>
    </w:p>
    <w:p>
      <w:r>
        <w:t xml:space="preserve">(3) Im Luftfahrerschein nach § 42 Abs. 6 Nr. 1 werden diejenigen Startarten eingetragen, in denen der Bewerber ausgebildet worden ist.</w:t>
      </w:r>
    </w:p>
    <w:p>
      <w:r>
        <w:t xml:space="preserve">(4) Der Luftfahrerschein nach § 42 Abs. 6 Nr. 1 wird auf Flüge in der Umgebung der Startstelle beschränkt, wenn die Ausbildung keine Überlandflugübungen und die dazugehörige theoretische Ausbildung enthalten hat.</w:t>
      </w:r>
    </w:p>
    <w:p>
      <w:r>
        <w:t xml:space="preserve">(5) Der Luftfahrerschein nach § 42 Abs. 6 Nr. 2 wird auf automatische Auslösung beschränkt, wenn die Ausbildung die manuelle Auslösung nicht umfasst hat.</w:t>
      </w:r>
    </w:p>
    <w:p>
      <w:r>
        <w:rPr>
          <w:color w:val="555555"/>
          <w:sz w:val="17"/>
        </w:rPr>
        <w:t xml:space="preserve">Zitiervorschlag: § 44 LuftPersV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https://recht.nulegal.eu/gesetze/LuftPersV/44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