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LuftPersV — Aufsicht über Ausbildungsbetriebe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nach § 26 zuständige Stelle führt die Aufsicht über die Ausbildungsbetriebe.</w:t>
      </w:r>
    </w:p>
    <w:p>
      <w:r>
        <w:t xml:space="preserve">(2) Der Inhaber der Ausbildungserlaubnis nach § 25 Nummer 1 oder 2 hat der nach § 26 zuständigen Stelle jährlich einen Ausbildungsbericht vorzulegen, der mindestens folgende Angaben enthalten muss:</w:t>
      </w:r>
    </w:p>
    <w:p>
      <w:pPr>
        <w:ind w:left="420"/>
      </w:pPr>
      <w:r>
        <w:t xml:space="preserve">1. Anzahl der im Kalenderjahr ausgebildeten Bewerber um Erlaubnisse und Berechtigungen als Luftfahrer,</w:t>
      </w:r>
    </w:p>
    <w:p>
      <w:pPr>
        <w:ind w:left="420"/>
      </w:pPr>
      <w:r>
        <w:t xml:space="preserve">2. Anzahl der unterrichteten Theoriestunden,</w:t>
      </w:r>
    </w:p>
    <w:p>
      <w:pPr>
        <w:ind w:left="420"/>
      </w:pPr>
      <w:r>
        <w:t xml:space="preserve">3. Anzahl der durchgeführten Flugausbildungsstunden mit Luftfahrzeugen, an Verfahrensübungsgeräten oder Simulatoren,</w:t>
      </w:r>
    </w:p>
    <w:p>
      <w:pPr>
        <w:ind w:left="420"/>
      </w:pPr>
      <w:r>
        <w:t xml:space="preserve">4. Anzahl der beschäftigten Fluglehrer, Theorielehrer oder Lehrer an synthetischen Übungsgeräten,</w:t>
      </w:r>
    </w:p>
    <w:p>
      <w:pPr>
        <w:ind w:left="420"/>
      </w:pPr>
      <w:r>
        <w:t xml:space="preserve">5. Anzahl und Muster der zur Ausbildung verwendeten Luftfahrzeuge und synthetischen Übungsgeräte sowie</w:t>
      </w:r>
    </w:p>
    <w:p>
      <w:pPr>
        <w:ind w:left="420"/>
      </w:pPr>
      <w:r>
        <w:t xml:space="preserve">6. besondere Vorkommnisse.</w:t>
      </w:r>
    </w:p>
    <w:p>
      <w:r>
        <w:rPr>
          <w:color w:val="555555"/>
          <w:sz w:val="17"/>
        </w:rPr>
        <w:t xml:space="preserve">Zitiervorschlag: § 31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