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LuftPersV — Anwendbare Vorschriften</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Die fachlichen Voraussetzungen und die Prüfungen zum Erwerb von Erlaubnissen und Berechtigungen sowie die Bestimmungen über die Gültigkeit, die Verlängerung und die Erneuerung von Erlaubnissen richten sich</w:t>
      </w:r>
    </w:p>
    <w:p>
      <w:pPr>
        <w:ind w:left="420"/>
      </w:pPr>
      <w:r>
        <w:t xml:space="preserve">1. für Personal nach § 1 Nummer 1 und 9 nach der Verordnung (EU) Nr. 1178/2011 der Kommission vom 3. November 2011 zur Festlegung technischer Vorschriften und von Verwaltungsverfahren in Bezug auf das fliegende Personal in der Zivilluftfahrt gemäß der Verordnung (EG) Nr. 216/2008 des Europäischen Parlaments und des Rates (ABl. L 311 vom 25.11.2011, S. 1) in der jeweils geltenden Fassung,</w:t>
      </w:r>
    </w:p>
    <w:p>
      <w:pPr>
        <w:ind w:left="420"/>
      </w:pPr>
      <w:r>
        <w:t xml:space="preserve">2. für Personal nach § 1 Nummer 2 nach der vom Bundesministerium für Verkehr und digitale Infrastruktur im Bundesanzeiger bekannt gemachten Fassung der Bestimmungen über die Lizenzierung von Flugingenieuren (JAR-FCL 4 deutsch) vom 15. April 2003 (BAnz. Nr. 81b vom 30. April 2003),</w:t>
      </w:r>
    </w:p>
    <w:p>
      <w:pPr>
        <w:ind w:left="420"/>
      </w:pPr>
      <w:r>
        <w:t xml:space="preserve">3. für Personal nach § 1 Nummer 3 bis 7 nach dieser Verordnung,</w:t>
      </w:r>
    </w:p>
    <w:p>
      <w:pPr>
        <w:ind w:left="420"/>
      </w:pPr>
      <w:r>
        <w:t xml:space="preserve">4. für Personal nach § 1 Nummer 8 nach der Verordnung (EU) Nr. 1321/2014 der Kommission vom 26. November 2014 über die Aufrechterhaltung der Lufttüchtigkeit von Luftfahrzeugen und luftfahrttechnischen Erzeugnissen, Teilen und Ausrüstungen und die Erteilung von Genehmigungen für Organisationen und Personen, die diese Tätigkeiten ausführen (ABl. L 362 vom 17.12.2014, S. 1), die zuletzt durch die Durchführungsverordnung (EU) 2020/270 (ABl. L 56 vom 27.2.2020, S. 20) geändert worden ist, in der jeweils geltenden Fassung.</w:t>
      </w:r>
    </w:p>
    <w:p>
      <w:r>
        <w:t xml:space="preserve">(2) Die Bestimmungen der Verordnung (EU) Nr. 1178/2011 werden auch angewendet auf Luftfahrzeuge nach Anhang I Buchstabe a bis d, g und h der Verordnung (EU) 2018/1139 des Europäischen Parlaments und des Rates vom 4. Juli 2018 zur Festlegung gemeinsamer Vorschriften für die Zivilluftfahrt und zur Errichtung einer Agentur der Europäischen Union für Flugsicherheit sowie zur Änderung der Verordnungen (EG) Nr. 2111/2005, (EG) Nr. 1008/2008, (EU) Nr. 996/2010, (EU) Nr. 376/2014 und der Richtlinien 2014/30/EU und 2014/53/EU des Europäischen Parlaments und des Rates, und zur Aufhebung der Verordnungen (EG) Nr. 552/2004 und (EG) Nr. 216/2008 des Europäischen Parlaments und des Rates und der Verordnung (EWG) Nr. 3922/91 des Rates (ABl. L 212 vom 22.8.2018, S. 1). Sind die Anforderungen der Verordnung (EU) Nr. 1178/2011 im Einzelfall nicht oder nur mit unverhältnismäßig hohem Aufwand erfüllbar, so kann die zuständige Behörde von ihrer Anwendung absehen, wenn ein mindestens vergleichbarer Sicherheitsstandard erreicht wird. Die Lizenz wird bei Eintrag einer Musterberechtigung für Luftfahrzeuge nach Satz 1 durch ein nationales Beiblatt ergänzt. Auf den Luftfahrzeugen nach Satz 1 absolvierte Flugstunden werden auf die fortlaufende Flugerfahrung angerechnet. Die Luftfahrzeuge nach Satz 1 können zur Ausbildung und zur Durchführung von praktischen Prüfungen, Befähigungsüberprüfungen und Kompetenzbeurteilungen genutzt werden, vorausgesetzt der Ausbildungsbetrieb sowie die Lehrberechtigten und Flugprüfer verfügen über die entsprechende Zulassung oder Berechtigung.</w:t>
      </w:r>
    </w:p>
    <w:p>
      <w:r>
        <w:rPr>
          <w:color w:val="555555"/>
          <w:sz w:val="17"/>
        </w:rPr>
        <w:t xml:space="preserve">Zitiervorschlag: § 3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