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LuftPersV — Erteilung und Umfang der Ausbildungserlaubnis</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Die nach § 26 zuständige Stelle erteilt dem Ausbildungsbetrieb die Ausbildungserlaubnis, wenn</w:t>
      </w:r>
    </w:p>
    <w:p>
      <w:pPr>
        <w:ind w:left="420"/>
      </w:pPr>
      <w:r>
        <w:t xml:space="preserve">1. durch die vorgesehene Ausbildungstätigkeit eine Gefährdung der Sicherheit des Luftverkehrs nicht zu befürchten ist,</w:t>
      </w:r>
    </w:p>
    <w:p>
      <w:pPr>
        <w:ind w:left="420"/>
      </w:pPr>
      <w:r>
        <w:t xml:space="preserve">2. Ausbildungsleiter und Fluglehrer über die notwendigen Berechtigungen verfügen und sonstiges Lehrpersonal die erforderlichen Kenntnisse nachweist und</w:t>
      </w:r>
    </w:p>
    <w:p>
      <w:pPr>
        <w:ind w:left="420"/>
      </w:pPr>
      <w:r>
        <w:t xml:space="preserve">3. den für die Ausbildung jeweils festgelegten Ausbildungsvorschriften dieser Verordnung, des Anhangs IV der Verordnung (EU) Nr. 1321/2014 oder der Verordnung (EU) Nr. 1178/2011 entsprochen wird.</w:t>
      </w:r>
    </w:p>
    <w:p>
      <w:r>
        <w:t xml:space="preserve">(2) Die Ausbildungserlaubnis wird für die Ausbildung zum Erwerb bestimmter Arten von Lizenzen, Luftfahrerscheinen und Ausweisen sowie Berechtigungen erteilt. Sie kann mit Nebenbestimmungen versehen werden.</w:t>
      </w:r>
    </w:p>
    <w:p>
      <w:r>
        <w:t xml:space="preserve">(3) Die folgenden Änderungen nach Erteilung der Ausbildungserlaubnis sind genehmigungspflichtig:</w:t>
      </w:r>
    </w:p>
    <w:p>
      <w:pPr>
        <w:ind w:left="420"/>
      </w:pPr>
      <w:r>
        <w:t xml:space="preserve">1. bei genehmigten Ausbildungseinrichtungen ein Wechsel des Ausbildungsleiters oder des Lehrpersonals sowie der Luftfahrzeuge und ein Wechsel der Zulassungsbedingungen einschließlich der betrieblichen Rahmengrößen,</w:t>
      </w:r>
    </w:p>
    <w:p>
      <w:pPr>
        <w:ind w:left="420"/>
      </w:pPr>
      <w:r>
        <w:t xml:space="preserve">2. bei zugelassenen Ausbildungsorganisationen die Festlegungen gemäß Anhang VII ORA.GEN.130 Buchstabe a der Verordnung (EU) Nr. 1178/2011,</w:t>
      </w:r>
    </w:p>
    <w:p>
      <w:pPr>
        <w:ind w:left="420"/>
      </w:pPr>
      <w:r>
        <w:t xml:space="preserve">3. bei Ausbildungsbetrieben für Prüfer von Luftfahrtgerät und freigabeberechtigtem Personal Änderungen nach den Festlegungen durch das Luftfahrt-Bundesamt, die bekannt zu machen sind.</w:t>
      </w:r>
    </w:p>
    <w:p>
      <w:r>
        <w:t xml:space="preserve">Die folgenden Änderungen sind meldepflichtig:</w:t>
      </w:r>
    </w:p>
    <w:p>
      <w:pPr>
        <w:ind w:left="420"/>
      </w:pPr>
      <w:r>
        <w:t xml:space="preserve">1. bei genehmigten Ausbildungseinrichtungen Änderungen des Namens des Inhabers oder der Firma des Inhabers der Ausbildungserlaubnis und</w:t>
      </w:r>
    </w:p>
    <w:p>
      <w:pPr>
        <w:ind w:left="420"/>
      </w:pPr>
      <w:r>
        <w:t xml:space="preserve">2. bei zugelassenen Ausbildungsorganisationen die Änderungen nach Anhang VII ORA.GEN.130 Buchstabe c der Verordnung (EU) Nr. 1178/2011.</w:t>
      </w:r>
    </w:p>
    <w:p>
      <w:r>
        <w:t xml:space="preserve">(4) Die Ausbildungserlaubnis ist gültig, bis der Inhaber der Erlaubnis der zuständigen Stelle mitteilt, dass die Ausbildungstätigkeit eingestellt wird, oder die zuständige Stelle feststellt, dass die Ausbildung nicht sicher durchgeführt wird oder nicht in Übereinstimmung mit Absatz 1 erfolgt. In diesen Fällen wird die Ausbildungserlaubnis widerrufen und ist unverzüglich an die nach § 26 zuständige Stelle zurückzugeben.</w:t>
      </w:r>
    </w:p>
    <w:p>
      <w:r>
        <w:t xml:space="preserve">(5) Die Erteilung und der Widerruf des Zeugnisses für eine zugelassene Ausbildungsorganisation sowie die Zulassung der genehmigten Ausbildungseinrichtung und ihr Widerruf werden öffentlich bekannt gemacht. Die Veröffentlichung erfolgt durch die nach § 26 zuständige Stelle.</w:t>
      </w:r>
    </w:p>
    <w:p>
      <w:r>
        <w:rPr>
          <w:color w:val="555555"/>
          <w:sz w:val="17"/>
        </w:rPr>
        <w:t xml:space="preserve">Zitiervorschlag: § 28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