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LuftPersV — Zuständige Stellen für die Verwaltung von Erklärungen und für die Genehmigung von Ausbildungsprogrammen von erklärten Ausbildungsorganisationen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19.03.2021 (konsolidierte Textfassung, kein amtliches Inkrafttretensdatum)</w:t>
      </w:r>
    </w:p>
    <w:p>
      <w:r>
        <w:t xml:space="preserve">Zuständig für die Verwaltung von Erklärungen nach Anhang VIII DTO.GEN.115 und Anhang VI ARA.DTO.100 der Verordnung (EU) Nr. 1178/2011 und für die Genehmigung von Ausbildungsprogrammen von erklärten Ausbildungsorganisationen nach Anhang VIII DTO.GEN.230 Buchstabe c der Verordnung (EU) Nr. 1178/2011 ist die Luftfahrtbehörde des Landes, in dem die Ausbildungsorganisation ihren Hauptgeschäftssitz hat.</w:t>
      </w:r>
    </w:p>
    <w:p>
      <w:r>
        <w:rPr>
          <w:color w:val="555555"/>
          <w:sz w:val="17"/>
        </w:rPr>
        <w:t xml:space="preserve">Zitiervorschlag: § 26a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