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21a LuftPersV — Medizinische Sachverständige des Luftfahrt-Bundesamtes</w:t>
      </w:r>
    </w:p>
    <w:p>
      <w:r>
        <w:rPr>
          <w:color w:val="555555"/>
          <w:sz w:val="18"/>
        </w:rPr>
        <w:t xml:space="preserve">Verordnung über Luftfahrtpersonal</w:t>
      </w:r>
    </w:p>
    <w:p>
      <w:r>
        <w:rPr>
          <w:color w:val="555555"/>
          <w:sz w:val="18"/>
        </w:rPr>
        <w:t xml:space="preserve">Stand: 19.03.2021 (konsolidierte Textfassung, kein amtliches Inkrafttretensdatum)</w:t>
      </w:r>
    </w:p>
    <w:p>
      <w:r>
        <w:t xml:space="preserve">(1) Die medizinischen Sachverständigen des Luftfahrt-Bundesamtes und deren medizinisches und nichtmedizinisches Hilfspersonal müssen Amtsträger oder für den öffentlichen Dienst besonders Verpflichtete sein. Sie müssen ihre Tätigkeit räumlich getrennt von Bereichen ausüben, in denen die anderen Aufgaben des Luftfahrt-Bundesamtes wahrgenommen werden.</w:t>
      </w:r>
    </w:p>
    <w:p>
      <w:r>
        <w:t xml:space="preserve">(2) Das Luftfahrt-Bundesamt ist verpflichtet, durch angemessene Maßnahmen und festgelegte Verfahren zu verhindern, dass andere Personen als die medizinischen Sachverständigen und deren medizinisches und nichtmedizinisches Hilfspersonal auf Informationen zur flugmedizinischen Tauglichkeit eines Bewerbers um ein Tauglichkeitszeugnis zugreifen.</w:t>
      </w:r>
    </w:p>
    <w:p>
      <w:r>
        <w:t xml:space="preserve">(3) Die medizinischen Sachverständigen des Luftfahrt-Bundesamtes und deren medizinisches und nichtmedizinisches Hilfspersonal unterliegen der ärztlichen Schweigepflicht gemäß Anhang MED.A.015 der Verordnung (EU) Nr. 1178/2011. Das Luftfahrt-Bundesamt stellt sicher, dass die medizinischen Sachverständigen des Luftfahrt-Bundesamtes und deren medizinisches und nichtmedizinisches Hilfspersonal über die ihnen obliegende Verschwiegenheitspflicht aufgeklärt werden.</w:t>
      </w:r>
    </w:p>
    <w:p>
      <w:r>
        <w:rPr>
          <w:color w:val="555555"/>
          <w:sz w:val="17"/>
        </w:rPr>
        <w:t xml:space="preserve">Zitiervorschlag: § 21a LuftPersV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https://recht.nulegal.eu/gesetze/LuftPersV/21a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