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LuftPersV — Bewerbermeldung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Ausbildungsbetrieb meldet jeden neu aufgenommenen Bewerber um eine Erlaubnis spätestens acht Tage nach Ausbildungsbeginn der nach § 5 zuständigen Stelle. Der Ausbildungsbetrieb teilt der zuständigen Stelle bis zum Zeitpunkt des ersten Alleinflugs mit, dass die Unterlagen nach § 16 Absatz 2 vorgelegt wurden.</w:t>
      </w:r>
    </w:p>
    <w:p>
      <w:r>
        <w:t xml:space="preserve">(2) Die Meldung nach Absatz 1 Satz 1 ist bei Bewerbern um einen Luftfahrerschein für nicht motorgetriebene Luftsportgeräte oder um eine Lizenz für Segelflugzeugführer nur erforderlich, wenn der für die Ausbildung Verantwortliche Zweifel hat, dass der Bewerber nach § 18 zuverlässig ist.</w:t>
      </w:r>
    </w:p>
    <w:p>
      <w:r>
        <w:rPr>
          <w:color w:val="555555"/>
          <w:sz w:val="17"/>
        </w:rPr>
        <w:t xml:space="preserve">Zitiervorschlag: § 19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