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135 LuftPersV — Übergangsvorschriften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JAR-FCL ausgestellte Lizenzen und Berechtigungen für Privat-, Berufs- und Verkehrspiloten werden auf Antrag im Rahmen der Verlängerung der Gültigkeit durch Lizenzen nach der Verordnung (EU) Nr. 1178/2011 ersetzt. Die Rechte aus den JAR-FCL-Lizenzen dürfen nach dem 8. April 2018 nicht mehr ausgeübt werden.</w:t>
      </w:r>
    </w:p>
    <w:p>
      <w:r>
        <w:t xml:space="preserve">(2) Die Umwandlung nicht JAR-gemäßer Lizenzen für Flugzeuge und Hubschrauber erfolgt auf Antrag nach Maßgabe der vom Bundesministerium für Verkehr und digitale Infrastruktur bekannt gemachten Umwandlungsberichte.</w:t>
      </w:r>
    </w:p>
    <w:p>
      <w:r>
        <w:t xml:space="preserve">(3) Die Umwandlung von Lizenzen für Segelflugzeuge, Freiballone und Luftschiffe erfolgt auf Antrag bis einschließlich 8. April 2015 nach Maßgabe der vom Bundesministerium für Verkehr und digitale Infrastruktur bekannt gemachten Umwandlungsberichte.</w:t>
      </w:r>
    </w:p>
    <w:p>
      <w:r>
        <w:t xml:space="preserve">(4) Wird die Umwandlung nicht JAR-gemäßer Lizenzen nach dem Ablauf der jeweils geltenden Frist nach Artikel 12 der Verordnung (EU) Nr. 1178/2011 beantragt, erfolgt die Umwandlung in Übereinstimmung mit den Anforderungen aus dem Umwandlungsbericht und den Anforderungen aus Anhang I der Verordnung (EU) Nr. 1178/2011.</w:t>
      </w:r>
    </w:p>
    <w:p>
      <w:r>
        <w:rPr>
          <w:color w:val="555555"/>
          <w:sz w:val="17"/>
        </w:rPr>
        <w:t xml:space="preserve">Zitiervorschlag: § 135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