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133 LuftPersV — Berechtigung zur Ausübung des Sprechfunkdienstes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Berechtigung zur Ausübung des Sprechfunkdienstes kann im Luftfahrerschein eingetragen werden. Der Umfang richtet sich nach der Verordnung über Flugfunkzeugnisse oder nach § 44 Abs. 2 Satz 2.</w:t>
      </w:r>
    </w:p>
    <w:p>
      <w:r>
        <w:t xml:space="preserve">(2) Das Flugfunkzeugnis muss bei der Ausübung der lizenzpflichtigen Tätigkeit nicht mitgeführt werden, wenn die Berechtigung zur Ausübung des Flugfunkdienstes im Luftfahrerschein eingetragen ist.</w:t>
      </w:r>
    </w:p>
    <w:p>
      <w:r>
        <w:rPr>
          <w:color w:val="555555"/>
          <w:sz w:val="17"/>
        </w:rPr>
        <w:t xml:space="preserve">Zitiervorschlag: § 133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https://recht.nulegal.eu/gesetze/LuftPersV/133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