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115 LuftPersV — Fachliche Voraussetzungen, Prüfung</w:t>
      </w:r>
    </w:p>
    <w:p>
      <w:r>
        <w:rPr>
          <w:color w:val="555555"/>
          <w:sz w:val="18"/>
        </w:rPr>
        <w:t xml:space="preserve">Verordnung über Luftfahrtpersonal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Fachliche Voraussetzung für den Erwerb des Ausweises für Steuerer von Flugmodellen ist der Nachweis der zum Steuern von Flugmodellen oder sonstigem Luftfahrtgerät notwendigen Kenntnisse und Fertigkeiten, insbesondere der Kenntnisse der</w:t>
      </w:r>
    </w:p>
    <w:p>
      <w:pPr>
        <w:ind w:left="420"/>
      </w:pPr>
      <w:r>
        <w:t xml:space="preserve">1. einschlägigen Vorschriften des Luft- und Polizeirechts und der Flugsicherung,</w:t>
      </w:r>
    </w:p>
    <w:p>
      <w:pPr>
        <w:ind w:left="420"/>
      </w:pPr>
      <w:r>
        <w:t xml:space="preserve">2. Haftungs- und Versicherungsvorschriften,</w:t>
      </w:r>
    </w:p>
    <w:p>
      <w:pPr>
        <w:ind w:left="420"/>
      </w:pPr>
      <w:r>
        <w:t xml:space="preserve">3. erforderlichen Sicherheitsvorkehrungen bei der Startvorbereitung und während des Betriebs der Geräte.</w:t>
      </w:r>
    </w:p>
    <w:p>
      <w:r>
        <w:t xml:space="preserve">(2) Den Inhalt und die Durchführung der Ausbildung sowie den Prüfungsumfang legt der Beauftragte nach § 31c des Luftverkehrsgesetzes fest.</w:t>
      </w:r>
    </w:p>
    <w:p>
      <w:r>
        <w:t xml:space="preserve">(3) Der Kenntnisnachweis ist in einer Befähigungsüberprüfung durch einen von der zuständigen Stelle beauftragten Prüfer zu führen.</w:t>
      </w:r>
    </w:p>
    <w:p>
      <w:r>
        <w:rPr>
          <w:color w:val="555555"/>
          <w:sz w:val="17"/>
        </w:rPr>
        <w:t xml:space="preserve">Zitiervorschlag: § 115 LuftPersV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https://recht.nulegal.eu/gesetze/LuftPersV/115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