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LuftPersV — Gültigkeitsdauer, Verlängerung und Erneuerung der Erlaubnis</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(1) Die Erlaubnis wird mit einer Gültigkeitsdauer von fünf Jahren erteilt.</w:t>
      </w:r>
    </w:p>
    <w:p>
      <w:r>
        <w:t xml:space="preserve">(2) Eine noch gültige Erlaubnis kann um fünf Jahre verlängert werden, wenn der Bewerber eine mindestens halbjährige hauptberufliche Tätigkeit oder eine gleichwertige nebenberufliche Tätigkeit im Umfang der Erlaubnis als Prüfer nach § 104 Absatz 4 innerhalb der letzten 24 Monate vor Ablauf der Gültigkeit nachweist. Der Nachweis ist durch ein Prüfbuch oder andere regelmäßig geführte Aufzeichnungen zu führen.</w:t>
      </w:r>
    </w:p>
    <w:p>
      <w:r>
        <w:t xml:space="preserve">(3) Der Umfang einer Erlaubnis, deren Rechte innerhalb der letzten 24 Monate vor Ablauf der Gültigkeit nicht ausreichend ausgeübt wurden, kann beschränkt werden. Die Verlängerung einer Erlaubnis, deren Rechte innerhalb der letzten 24 Monate vor Ablauf der Gültigkeit nicht ausreichend ausgeübt wurden, kann von einer Überprüfung des Bewerbers durch einen von der zuständigen Stelle anerkannten Sachverständigen abhängig gemacht werden.</w:t>
      </w:r>
    </w:p>
    <w:p>
      <w:r>
        <w:t xml:space="preserve">(4) Eine Erlaubnis, deren Gültigkeit abgelaufen ist, kann erneuert werden, wenn der Bewerber innerhalb der letzten zwölf Monate vor Stellung des Antrags auf Erneuerung der Erlaubnis in der Instandhaltung an der Art von Luftfahrzeugen, an denen die Prüftätigkeit erfolgen soll, sechs Monate tätig war. Die Erneuerung kann von einer Überprüfung des Bewerbers durch einen von der Erlaubnisbehörde bestimmten Sachverständigen abhängig gemacht werden.</w:t>
      </w:r>
    </w:p>
    <w:p>
      <w:r>
        <w:t xml:space="preserve">(5) Bei einer Verlängerung oder Erneuerung der Gültigkeitsdauer einer Erlaubnis, die vor Inkrafttreten dieser Verordnung erteilt wurde, kann die Erlaubnisbehörde den Nachweis von Sprachkenntnissen gemäß § 105 Absatz 5 verlangen.</w:t>
      </w:r>
    </w:p>
    <w:p>
      <w:r>
        <w:t xml:space="preserve">(6) Gültigkeitsdauer und Verlängerung des nationalen Anhangs von Lizenzen für freigabeberechtigtes Personal richten sich nach der Verordnung (EU) Nr. 1321/2014.</w:t>
      </w:r>
    </w:p>
    <w:p>
      <w:r>
        <w:rPr>
          <w:color w:val="555555"/>
          <w:sz w:val="17"/>
        </w:rPr>
        <w:t xml:space="preserve">Zitiervorschlag: § 110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