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LuftPersV — Ausübung der Rechte aus einer Erlaubnis</w:t>
      </w:r>
    </w:p>
    <w:p>
      <w:r>
        <w:rPr>
          <w:color w:val="555555"/>
          <w:sz w:val="18"/>
        </w:rPr>
        <w:t xml:space="preserve">Verordnung über Luftfahrtpersonal</w:t>
      </w:r>
    </w:p>
    <w:p>
      <w:r>
        <w:rPr>
          <w:color w:val="555555"/>
          <w:sz w:val="18"/>
        </w:rPr>
        <w:t xml:space="preserve">Stand: 25.01.2022 (konsolidierte Textfassung, kein amtliches Inkrafttretensdatum)</w:t>
      </w:r>
    </w:p>
    <w:p>
      <w:r>
        <w:t xml:space="preserve">(1) Die Rechte aus einer Erlaubnis dürfen nur ausgeübt werden, wenn die zur Erteilung der Erlaubnis geforderten Zeugnisse und Nachweise jeweils gültig sind und die fortlaufende Flugerfahrung auf Verlangen der zuständigen Stelle nach § 5 oder der Luftaufsicht durch entsprechende Einträge im Flugbuch nachgewiesen werden kann. In den Fällen des § 7 Absatz 1 Nummer 4 des Luftsicherheitsgesetzes muss eine gültige Bescheinigung über das Ergebnis der Zuverlässigkeitsüberprüfung vorliegen.</w:t>
      </w:r>
    </w:p>
    <w:p>
      <w:r>
        <w:t xml:space="preserve">(2) Der Inhaber einer Erlaubnis nach § 1 Nummer 7 darf die Rechte aus der Erlaubnis unter Beachtung der Anforderungen nach § 12 Absatz 1 der Verordnung zur Prüfung von Luftfahrtgerät in Verbindung mit der Verordnung (EU) Nr. 1321/2014, Anhang I (Teil-M), M.A.401 bis M.A.403 oder Anhang Vb (Teil-ML), ML.A.401 bis ML.A.403 nur dann ausüben, wenn</w:t>
      </w:r>
    </w:p>
    <w:p>
      <w:pPr>
        <w:ind w:left="420"/>
      </w:pPr>
      <w:r>
        <w:t xml:space="preserve">1. ihm die für die Ausübung der Prüfertätigkeit an dem betreffenden Luftfahrtgerät erforderliche Musterberechtigung nach § 105 erteilt wurde,</w:t>
      </w:r>
    </w:p>
    <w:p>
      <w:pPr>
        <w:ind w:left="420"/>
      </w:pPr>
      <w:r>
        <w:t xml:space="preserve">2. er im vorhergehenden Zweijahreszeitraum entweder sechs Monate Erfahrung in der Instandhaltung gemäß den erteilten Rechten nach § 104 erworben hat oder er die Voraussetzungen für die Erteilung der entsprechenden Rechte nach § 106 erfüllt,</w:t>
      </w:r>
    </w:p>
    <w:p>
      <w:pPr>
        <w:ind w:left="420"/>
      </w:pPr>
      <w:r>
        <w:t xml:space="preserve">3. er die Sprache, in der die für die Ausstellung von Freigabebescheinigungen erforderlichen technischen Dokumentationen und Dokumentationen der Instandhaltungsverfahren abgefasst sind, in ausreichendem Maß, also in Wort und Schrift aktiv und passiv, beherrscht.</w:t>
      </w:r>
    </w:p>
    <w:p>
      <w:r>
        <w:t xml:space="preserve">(3) Der Inhaber einer Erlaubnis nach § 1 Nummer 8 darf die Rechte aus der Erlaubnis nur dann ausüben, wenn die Anforderungen der Verordnung (EU) Nr. 1321/2014, Anhang III (Teil-66), 66.A.20 b) erfüllt sind.</w:t>
      </w:r>
    </w:p>
    <w:p>
      <w:r>
        <w:rPr>
          <w:color w:val="555555"/>
          <w:sz w:val="17"/>
        </w:rPr>
        <w:t xml:space="preserve">Zitiervorschlag: § 11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