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LuftPersV — Anrechenbarkeit praktischer Erfahrung, Ersetzbarkeit der beruflichen Tätigkeit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Die zuständige Stelle kann auf die Erfahrung in der Instandhaltung von Luftfahrtgerät nach § 106 Absatz 1 Nummer 2 oder auf die beruflich ausgeübte Tätigkeit nach § 106 Absatz 2 Nummer 2 eine gleichwertige, den Anforderungen förderliche Beschäftigungszeit bis zu einem Jahr anrechnen.</w:t>
      </w:r>
    </w:p>
    <w:p>
      <w:r>
        <w:t xml:space="preserve">(2) Bei Bewerbern um die Erlaubnis der Klasse 5 kann von dem Nachweis der beruflichen Tätigkeit nach § 106 Absatz 2 Nummer 2 abgesehen werden, wenn eine gleichwertige Tätigkeit nichtberufsmäßig bei einem anerkannten Instandhaltungsbetrieb oder bei einem Herstellerbetrieb für Luftsportgerät ausgeübt wurde.</w:t>
      </w:r>
    </w:p>
    <w:p>
      <w:r>
        <w:rPr>
          <w:color w:val="555555"/>
          <w:sz w:val="17"/>
        </w:rPr>
        <w:t xml:space="preserve">Zitiervorschlag: § 108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