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LuftPersV — Ersetzbarkeit der Berufsausbildung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Die Berufsausbildung nach § 106 Absatz 1 Nummer 1 oder Absatz 2 Nummer 1 kann ersetzt werden</w:t>
      </w:r>
    </w:p>
    <w:p>
      <w:pPr>
        <w:ind w:left="420"/>
      </w:pPr>
      <w:r>
        <w:t xml:space="preserve">1. bei der Erlaubnis für Prüfer von Luftfahrtgerät der Klasse 4 durch</w:t>
      </w:r>
    </w:p>
    <w:p>
      <w:pPr>
        <w:ind w:left="780"/>
      </w:pPr>
      <w:r>
        <w:t xml:space="preserve">a) den Abschluss einer staatlichen oder staatlich anerkannten Technikerschule,</w:t>
      </w:r>
    </w:p>
    <w:p>
      <w:pPr>
        <w:ind w:left="780"/>
      </w:pPr>
      <w:r>
        <w:t xml:space="preserve">b) den Abschluss einer Fachhochschule oder wissenschaftlichen Hochschule einschlägiger Fachrichtung oder</w:t>
      </w:r>
    </w:p>
    <w:p>
      <w:pPr>
        <w:ind w:left="780"/>
      </w:pPr>
      <w:r>
        <w:t xml:space="preserve">c) mindestens zwei zusätzliche Jahre relevante Erfahrung in der Instandhaltung oder Prüfung von Luftfahrtgerät zusätzlich zu der nach § 106 Absatz 1 Nummer 2 geforderten Erfahrung,</w:t>
      </w:r>
    </w:p>
    <w:p>
      <w:pPr>
        <w:ind w:left="420"/>
      </w:pPr>
      <w:r>
        <w:t xml:space="preserve">2. bei der Erlaubnis für Prüfer von Luftfahrtgerät der Klasse 5 durch</w:t>
      </w:r>
    </w:p>
    <w:p>
      <w:pPr>
        <w:ind w:left="780"/>
      </w:pPr>
      <w:r>
        <w:t xml:space="preserve">a) den Abschluss einer staatlichen oder staatlich anerkannten Technikerschule oder</w:t>
      </w:r>
    </w:p>
    <w:p>
      <w:pPr>
        <w:ind w:left="780"/>
      </w:pPr>
      <w:r>
        <w:t xml:space="preserve">b) den Abschluss einer Fachhochschule oder wissenschaftlichen Hochschule einschlägiger Fachrichtung.</w:t>
      </w:r>
    </w:p>
    <w:p>
      <w:r>
        <w:rPr>
          <w:color w:val="555555"/>
          <w:sz w:val="17"/>
        </w:rPr>
        <w:t xml:space="preserve">Zitiervorschlag: § 107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