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LuftNaSiG — Inkrafttreten</w:t>
      </w:r>
    </w:p>
    <w:p>
      <w:r>
        <w:rPr>
          <w:color w:val="555555"/>
          <w:sz w:val="18"/>
        </w:rPr>
        <w:t xml:space="preserve">Luftverkehrsnachweissicherungsgesetz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 und 3 treten am 1. Juli 1997 in Kraft. Im übrigen tritt das Gesetz am Tage nach der Verkündung in Kraft.</w:t>
      </w:r>
    </w:p>
    <w:p>
      <w:r>
        <w:rPr>
          <w:color w:val="555555"/>
          <w:sz w:val="17"/>
        </w:rPr>
        <w:t xml:space="preserve">Zitiervorschlag: § 8 LuftNaSiG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https://recht.nulegal.eu/gesetze/LuftNaSiG/8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