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LuftNaSiG — Weitergabe von Auskünften durch Kreditinstitute, Hinweispflicht</w:t>
      </w:r>
    </w:p>
    <w:p>
      <w:r>
        <w:rPr>
          <w:color w:val="555555"/>
          <w:sz w:val="18"/>
        </w:rPr>
        <w:t xml:space="preserve">Luftverkehrsnachweissicherungsgesetz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Verwahrt ein Kreditinstitut Aktien von Gesellschaften im Sinne des § 1 Abs. 1 für Aktionäre, so hat es Mitteilungen und Formblätter der Gesellschaft, die der Erfüllung der Verpflichtung der Aktionäre nach den §§ 2 und 3 dienen, unverzüglich an diese Aktionäre weiterzugeben und diese auf die Pflichten nach den Vorschriften dieses Gesetzes hinzuweisen.</w:t>
      </w:r>
    </w:p>
    <w:p>
      <w:r>
        <w:rPr>
          <w:color w:val="555555"/>
          <w:sz w:val="17"/>
        </w:rPr>
        <w:t xml:space="preserve">Zitiervorschlag: § 7 LuftNaSiG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https://recht.nulegal.eu/gesetze/LuftNaSiG/7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