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LuftNaSiG — Unterrichtung der Aktionäre</w:t>
      </w:r>
    </w:p>
    <w:p>
      <w:r>
        <w:rPr>
          <w:color w:val="555555"/>
          <w:sz w:val="18"/>
        </w:rPr>
        <w:t xml:space="preserve">Luftverkehrsnachweissicherungsgesetz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hat mit Einberufung der Hauptversammlung nach § 49 Absatz 1 Satz 1 Nummer 1 des Wertpapierhandelsgesetzes die Stimmenverhältnisse nach Nationalitäten bekanntzugeben. Der Vorstand ist verpflichtet, den jeweiligen Stand des Anteils der Stimmen im Sinne des Satzes 1 zum Ende eines jeden Quartals im Bundesanzeiger zu veröffentlichen.</w:t>
      </w:r>
    </w:p>
    <w:p>
      <w:r>
        <w:t xml:space="preserve">(2) Der Vorstand hat unverzüglich den Eintritt von Tatsachen, die gemäß § 4 zum Erwerb eigener Aktien oder zur Vornahme der Kapitalmaßnahmen befugen, gemäß Artikel 17 der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12.6.2014, S. 1) in der jeweils geltenden Fassung zu veröffentlichen.</w:t>
      </w:r>
    </w:p>
    <w:p>
      <w:r>
        <w:rPr>
          <w:color w:val="555555"/>
          <w:sz w:val="17"/>
        </w:rPr>
        <w:t xml:space="preserve">Zitiervorschlag: § 6 LuftNaSiG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https://recht.nulegal.eu/gesetze/LuftNaSiG/6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