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LuftNaSiG — Umwandlung in vinkulierte Namensaktien</w:t>
      </w:r>
    </w:p>
    <w:p>
      <w:r>
        <w:rPr>
          <w:color w:val="555555"/>
          <w:sz w:val="18"/>
        </w:rPr>
        <w:t xml:space="preserve">Luftverkehrsnachweissicherungsgesetz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Gesellschaften im Sinne des § 1 Abs. 1 zum Zeitpunkt des Inkrafttretens dieses Gesetzes ausgegebenen Aktien werden durch dieses Gesetz in vinkulierte Namensaktien im Sinne des § 2 umgewandelt.</w:t>
      </w:r>
    </w:p>
    <w:p>
      <w:r>
        <w:t xml:space="preserve">(2) Die Umwandlung wird wirksam mit Ausgabe der neuen, auf den Namen lautenden Aktienurkunden, spätestens jedoch fünf Monate nach Inkrafttreten dieses Gesetzes.</w:t>
      </w:r>
    </w:p>
    <w:p>
      <w:r>
        <w:t xml:space="preserve">(3) Die Gesellschaft hat die Aktionäre aufzufordern, spätestens vier Monate nach Inkrafttreten dieses Gesetzes ihre Aktienurkunden nebst Dividenden- und Erneuerungsscheinen zum Umtausch in Namensaktien einzureichen und über § 67 Abs. 1 des Aktiengesetzes hinaus die in § 2 Abs. 1 geforderten Angaben zu machen.</w:t>
      </w:r>
    </w:p>
    <w:p>
      <w:r>
        <w:t xml:space="preserve">(4) Die Aufforderung, die Aktienurkunden einzureichen, hat die Kraftloserklärung nach Maßgabe des § 73 des Aktiengesetzes anzudrohen. Aktienurkunden sind auch dann für kraftlos zu erklären, wenn die in § 2 Abs. 1 geforderten Angaben nicht oder nicht vollständig gemacht werden.</w:t>
      </w:r>
    </w:p>
    <w:p>
      <w:r>
        <w:t xml:space="preserve">(5) Anstelle der für kraftlos erklärten Aktien sind neue auf den Namen lautende Aktien auszugeben und dem Berechtigten auszuhändigen. Solange der Berechtigte nicht feststeht oder die nach § 2 Abs. 1 geforderten Angaben nicht oder nicht vollständig macht, sind die Aktien auf den Namen eines Treuhänders einzutragen. Dem Treuhänder stehen Rechte aus den Aktien nicht zu.</w:t>
      </w:r>
    </w:p>
    <w:p>
      <w:r>
        <w:rPr>
          <w:color w:val="555555"/>
          <w:sz w:val="17"/>
        </w:rPr>
        <w:t xml:space="preserve">Zitiervorschlag: § 3 LuftNaSiG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https://recht.nulegal.eu/gesetze/LuftNaSiG/3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