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LuftNaSiG — Geltungsbereich</w:t>
      </w:r>
    </w:p>
    <w:p>
      <w:r>
        <w:rPr>
          <w:color w:val="555555"/>
          <w:sz w:val="18"/>
        </w:rPr>
        <w:t xml:space="preserve">Luftverkehrsnachweissicherungsgesetz</w:t>
      </w:r>
    </w:p>
    <w:p>
      <w:r>
        <w:rPr>
          <w:color w:val="555555"/>
          <w:sz w:val="18"/>
        </w:rPr>
        <w:t xml:space="preserve">Stand: 10.06.2019 (konsolidierte Textfassung, kein amtliches Inkrafttretensdatum)</w:t>
      </w:r>
    </w:p>
    <w:p>
      <w:r>
        <w:t xml:space="preserve">(1) Dieses Gesetz dient der Sicherung des Nachweises der Eigentümerstellung und der Kontrolle von Luftfahrtunternehmen für die Aufrechterhaltung der Luftverkehrsbetriebsgenehmigung und der Luftverkehrsrechte (luftverkehrsrechtliche Befugnisse) und findet Anwendung auf börsennotierte Aktiengesellschaften mit Sitz im Inland (Gesellschaften), die ein Luftfahrtunternehmen im Sinne der Verordnung (EWG) Nr. 2407/92 des Rates über die Erteilung von Betriebsgenehmigungen an Luftfahrtunternehmen vom 23. Juli 1992 (ABl. EG Nr. L 240 S. 1) betreiben, und auf ihre Aktionäre.</w:t>
      </w:r>
    </w:p>
    <w:p>
      <w:r>
        <w:t xml:space="preserve">(2) Das Gesetz findet keine Anwendung, wenn eine Gesellschaft durch ihre Hauptversammlung mit einer Mehrheit von mindestens drei Vierteln des bei der Beschlußfassung vertretenen Grundkapitals beschließt, sich diesem Gesetz nicht zu unterstellen. Ein solcher Beschluß kann von der Hauptversammlung mit gleicher Mehrheit wieder aufgehoben werden.</w:t>
      </w:r>
    </w:p>
    <w:p>
      <w:r>
        <w:rPr>
          <w:color w:val="555555"/>
          <w:sz w:val="17"/>
        </w:rPr>
        <w:t xml:space="preserve">Zitiervorschlag: § 1 LuftNaSiG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https://recht.nulegal.eu/gesetze/LuftNaSiG/1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