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LuftKostV</w:t>
      </w:r>
    </w:p>
    <w:p>
      <w:r>
        <w:rPr>
          <w:color w:val="555555"/>
          <w:sz w:val="18"/>
        </w:rPr>
        <w:t xml:space="preserve">Kostenverordnung der Luftfahrtverwaltung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Abs. 1 Satz 1 Nr. 13 des Luftverkehrsgesetzes in der Fassung der Bekanntmachung vom 14. Januar 1981 (BGBl. I S. 61) in Verbindung mit dem zweiten Abschnitt des Verwaltungskostengesetzes vom 23. Juni 1970 (BGBl. I S. 821) wird im Einvernehmen mit den Bundesministern der Finanzen und für Wirtschaft und mit Zustimmung des Bundesrates verordnet:</w:t>
      </w:r>
    </w:p>
    <w:p>
      <w:r>
        <w:rPr>
          <w:color w:val="555555"/>
          <w:sz w:val="17"/>
        </w:rPr>
        <w:t xml:space="preserve">Zitiervorschlag: Eingangsformel LuftKostV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