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LuftKostV — Übergangsregelung</w:t>
      </w:r>
    </w:p>
    <w:p>
      <w:r>
        <w:rPr>
          <w:color w:val="555555"/>
          <w:sz w:val="18"/>
        </w:rPr>
        <w:t xml:space="preserve">Kostenverordnung der Luftfahrtverwaltung</w:t>
      </w:r>
    </w:p>
    <w:p>
      <w:r>
        <w:rPr>
          <w:color w:val="555555"/>
          <w:sz w:val="18"/>
        </w:rPr>
        <w:t xml:space="preserve">Stand: 10.06.2019 (konsolidierte Textfassung, kein amtliches Inkrafttretensdatum)</w:t>
      </w:r>
    </w:p>
    <w:p>
      <w:r>
        <w:t xml:space="preserve">Bei Änderung des Gebührenverzeichnisses vor Beendigung einer Amtshandlung bemisst sich die Gebühr nach dem bei Beendigung der Amtshandlung geltenden Gebührenverzeichnis. In diesem Fall darf die Gebühr jedoch den Betrag, der sich bei Anwendung des bei Beginn der Amtshandlung geltenden Gebührenverzeichnisses ergeben würde, um nicht mehr als ein Zehntel überschreiten.</w:t>
      </w:r>
    </w:p>
    <w:p>
      <w:r>
        <w:rPr>
          <w:color w:val="555555"/>
          <w:sz w:val="17"/>
        </w:rPr>
        <w:t xml:space="preserve">Zitiervorschlag: § 9 LuftKostV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https://recht.nulegal.eu/gesetze/LuftKostV/9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