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LuftKostV — Zuschläge für Amtshandlungen</w:t>
      </w:r>
    </w:p>
    <w:p>
      <w:r>
        <w:rPr>
          <w:color w:val="555555"/>
          <w:sz w:val="18"/>
        </w:rPr>
        <w:t xml:space="preserve">Kostenverordnung der Luftfahrtverwaltung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Amtshandlungen, deren Bearbeitungszeitraum die Dauer eines Jahres überschreitet, sind die Zuschläge je angefangene Arbeitsstunde jährlich zu erheben. Maßgeblich ist die jeweils gültige Fassung des Gebührenverzeichnisses.</w:t>
      </w:r>
    </w:p>
    <w:p>
      <w:r>
        <w:rPr>
          <w:color w:val="555555"/>
          <w:sz w:val="17"/>
        </w:rPr>
        <w:t xml:space="preserve">Zitiervorschlag: § 8a LuftKostV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https://recht.nulegal.eu/gesetze/LuftKostV/8a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