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LuftKostV — Zurückbehaltung von Urkunden</w:t>
      </w:r>
    </w:p>
    <w:p>
      <w:r>
        <w:rPr>
          <w:color w:val="555555"/>
          <w:sz w:val="18"/>
        </w:rPr>
        <w:t xml:space="preserve">Kostenverordnung der Luftfahrtverwaltung</w:t>
      </w:r>
    </w:p>
    <w:p>
      <w:r>
        <w:rPr>
          <w:color w:val="555555"/>
          <w:sz w:val="18"/>
        </w:rPr>
        <w:t xml:space="preserve">Stand: 10.06.2019 (konsolidierte Textfassung, kein amtliches Inkrafttretensdatum)</w:t>
      </w:r>
    </w:p>
    <w:p>
      <w:r>
        <w:t xml:space="preserve">Urkunden (zum Beispiel Zulassungsscheine, Genehmigungen, Erlaubnisse, Ausweise), die im Zusammenhang mit der kostenpflichtigen Amtshandlung erteilt werden, können bis zur Zahlung der Kosten zurückbehalten oder an den Kostenschuldner auf dessen Kosten unter Postnachnahme übersandt werden.</w:t>
      </w:r>
    </w:p>
    <w:p>
      <w:r>
        <w:rPr>
          <w:color w:val="555555"/>
          <w:sz w:val="17"/>
        </w:rPr>
        <w:t xml:space="preserve">Zitiervorschlag: § 7 LuftKostV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https://recht.nulegal.eu/gesetze/LuftKostV/7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