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LuftKostV — Grundsatz</w:t>
      </w:r>
    </w:p>
    <w:p>
      <w:r>
        <w:rPr>
          <w:color w:val="555555"/>
          <w:sz w:val="18"/>
        </w:rPr>
        <w:t xml:space="preserve">Kostenverordnung der Luftfahrtverwaltung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Luftfahrtbehörden und die vom Bundesministerium für Verkehr, Bau- und Wohnungswesen Beauftragten nach den §§ 31b und 31c des Luftverkehrsgesetzes erheben für Amtshandlungen im Bereich der Luftfahrtverwaltung Kosten (Gebühren und Auslagen) nach dieser Verordnung.</w:t>
      </w:r>
    </w:p>
    <w:p>
      <w:r>
        <w:t xml:space="preserve">(2) Im übrigen gilt das Verwaltungskostengesetz in der bis zum 14. August 2013 geltenden Fassung, soweit nachfolgend nichts anderes bestimmt ist.</w:t>
      </w:r>
    </w:p>
    <w:p>
      <w:r>
        <w:rPr>
          <w:color w:val="555555"/>
          <w:sz w:val="17"/>
        </w:rPr>
        <w:t xml:space="preserve">Zitiervorschlag: § 1 LuftKostV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