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LuftGerPV1998DV 3 — Anzeigepflicht</w:t>
      </w:r>
    </w:p>
    <w:p>
      <w:r>
        <w:rPr>
          <w:color w:val="555555"/>
          <w:sz w:val="18"/>
        </w:rPr>
        <w:t xml:space="preserve">3. DVLuftGerPV</w:t>
      </w:r>
    </w:p>
    <w:p>
      <w:r>
        <w:rPr>
          <w:color w:val="555555"/>
          <w:sz w:val="18"/>
        </w:rPr>
        <w:t xml:space="preserve">Historische Fassung: Stand 10.06.2019 bis 24.06.2021. Dies ist nicht die aktuelle Fassung.</w:t>
      </w:r>
    </w:p>
    <w:p>
      <w:r>
        <w:t xml:space="preserve">Ergeben sich bei der anerkannten Prüfstelle Änderungen gegenüber den Voraussetzungen für die Anerkennung, sind diese unverzüglich dem Luftfahrt-Bundesamt schriftlich mitzuteilen.</w:t>
      </w:r>
    </w:p>
    <w:p>
      <w:r>
        <w:rPr>
          <w:color w:val="555555"/>
          <w:sz w:val="17"/>
        </w:rPr>
        <w:t xml:space="preserve">Zitiervorschlag: § 9 LuftGerPV1998DV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https://recht.nulegal.eu/gesetze/LuftGerPV1998DV%203/9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LuftGerPV1998DV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