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LuftGerPV1998DV 3 — Gültigkeit der Anerkennung</w:t>
      </w:r>
    </w:p>
    <w:p>
      <w:r>
        <w:rPr>
          <w:color w:val="555555"/>
          <w:sz w:val="18"/>
        </w:rPr>
        <w:t xml:space="preserve">3. DVLuftGerPV</w:t>
      </w:r>
    </w:p>
    <w:p>
      <w:r>
        <w:rPr>
          <w:color w:val="555555"/>
          <w:sz w:val="18"/>
        </w:rPr>
        <w:t xml:space="preserve">Historische Fassung: Stand 10.06.2019 bis 24.06.2021. Dies ist nicht die aktuelle Fassung.</w:t>
      </w:r>
    </w:p>
    <w:p>
      <w:r>
        <w:t xml:space="preserve">Die Anerkennung wird befristet erteilt und kann mit Auflagen verbunden werden. Die Anerkennung kann auf die Berechtigung zur Musterprüfung bestimmter Arten von Luftsportgerät beschränkt werden.</w:t>
      </w:r>
    </w:p>
    <w:p>
      <w:r>
        <w:rPr>
          <w:color w:val="555555"/>
          <w:sz w:val="17"/>
        </w:rPr>
        <w:t xml:space="preserve">Zitiervorschlag: § 8 LuftGerPV1998DV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