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LuftGerPV1998DV 3 — Außerbetriebliche Stellen</w:t>
      </w:r>
    </w:p>
    <w:p>
      <w:r>
        <w:rPr>
          <w:color w:val="555555"/>
          <w:sz w:val="18"/>
        </w:rPr>
        <w:t xml:space="preserve">3. DVLuftGerPV</w:t>
      </w:r>
    </w:p>
    <w:p>
      <w:r>
        <w:rPr>
          <w:color w:val="555555"/>
          <w:sz w:val="18"/>
        </w:rPr>
        <w:t xml:space="preserve">Historische Fassung: Stand 10.06.2019 bis 24.06.2021. Dies ist nicht die aktuelle Fassung.</w:t>
      </w:r>
    </w:p>
    <w:p>
      <w:r>
        <w:t xml:space="preserve">Zur Durchführung von Musterprüfungen kann sich die Prüfstelle durch schriftliche Vereinbarungen geeigneter Dritter bedienen.</w:t>
      </w:r>
    </w:p>
    <w:p>
      <w:r>
        <w:rPr>
          <w:color w:val="555555"/>
          <w:sz w:val="17"/>
        </w:rPr>
        <w:t xml:space="preserve">Zitiervorschlag: § 7 LuftGerPV1998DV 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https://recht.nulegal.eu/gesetze/LuftGerPV1998DV%203/7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LuftGerPV1998DV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