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LuftGerPV1998DV 3 — Organisatorische Voraussetzungen</w:t>
      </w:r>
    </w:p>
    <w:p>
      <w:r>
        <w:rPr>
          <w:color w:val="555555"/>
          <w:sz w:val="18"/>
        </w:rPr>
        <w:t xml:space="preserve">3. DVLuftGerPV</w:t>
      </w:r>
    </w:p>
    <w:p>
      <w:r>
        <w:rPr>
          <w:color w:val="555555"/>
          <w:sz w:val="18"/>
        </w:rPr>
        <w:t xml:space="preserve">Historische Fassung: Stand 10.06.2019 bis 24.06.2021. Dies ist nicht die aktuelle Fassung.</w:t>
      </w:r>
    </w:p>
    <w:p>
      <w:r>
        <w:t xml:space="preserve">(1) Für die Musterprüfung muss eine Leitung der Prüfstelle benannt sein.</w:t>
      </w:r>
    </w:p>
    <w:p>
      <w:r>
        <w:t xml:space="preserve">(2) Die Zuständigkeiten für alle Aufgaben im Rahmen der Musterprüfung müssen eindeutig festgelegt sein.</w:t>
      </w:r>
    </w:p>
    <w:p>
      <w:r>
        <w:t xml:space="preserve">(3) Der Antragsteller muss zur Anerkennung ein Prüfstellenhandbuch für die Durchführung von Musterprüfungen vorlegen.</w:t>
      </w:r>
    </w:p>
    <w:p>
      <w:r>
        <w:rPr>
          <w:color w:val="555555"/>
          <w:sz w:val="17"/>
        </w:rPr>
        <w:t xml:space="preserve">Zitiervorschlag: § 6 LuftGerPV1998DV 3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https://recht.nulegal.eu/gesetze/LuftGerPV1998DV%203/6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