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LuftGerPV1998DV 3 — Technische Voraussetzungen</w:t>
      </w:r>
    </w:p>
    <w:p>
      <w:r>
        <w:rPr>
          <w:color w:val="555555"/>
          <w:sz w:val="18"/>
        </w:rPr>
        <w:t xml:space="preserve">3. DVLuftGerPV</w:t>
      </w:r>
    </w:p>
    <w:p>
      <w:r>
        <w:rPr>
          <w:color w:val="555555"/>
          <w:sz w:val="18"/>
        </w:rPr>
        <w:t xml:space="preserve">Historische Fassung: Stand 10.06.2019 bis 24.06.2021. Dies ist nicht die aktuelle Fassung.</w:t>
      </w:r>
    </w:p>
    <w:p>
      <w:r>
        <w:t xml:space="preserve">Der Antragsteller muss über eigene Räumlichkeiten und Versuchseinrichtungen verfügen, die zur Durchführung der zum Nachweis der Lufttüchtigkeit notwendigen Versuche und Messungen geeignet sind.</w:t>
      </w:r>
    </w:p>
    <w:p>
      <w:r>
        <w:rPr>
          <w:color w:val="555555"/>
          <w:sz w:val="17"/>
        </w:rPr>
        <w:t xml:space="preserve">Zitiervorschlag: § 5 LuftGerPV1998DV 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https://recht.nulegal.eu/gesetze/LuftGerPV1998DV%203/5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LuftGerPV1998DV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